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Overlap w:val="never"/>
        <w:tblW w:w="0" w:type="auto"/>
        <w:jc w:val="right"/>
        <w:tblLayout w:type="fixed"/>
        <w:tblCellMar>
          <w:left w:w="10" w:type="dxa"/>
          <w:right w:w="10" w:type="dxa"/>
        </w:tblCellMar>
        <w:tblLook w:val="04A0" w:firstRow="1" w:lastRow="0" w:firstColumn="1" w:lastColumn="0" w:noHBand="0" w:noVBand="1"/>
      </w:tblPr>
      <w:tblGrid>
        <w:gridCol w:w="1963"/>
        <w:gridCol w:w="154"/>
        <w:gridCol w:w="504"/>
        <w:gridCol w:w="240"/>
        <w:gridCol w:w="2270"/>
        <w:gridCol w:w="336"/>
        <w:gridCol w:w="370"/>
        <w:gridCol w:w="346"/>
      </w:tblGrid>
      <w:tr w:rsidR="002E782F" w:rsidTr="001B1C35">
        <w:trPr>
          <w:trHeight w:val="20"/>
          <w:jc w:val="right"/>
        </w:trPr>
        <w:tc>
          <w:tcPr>
            <w:tcW w:w="1963" w:type="dxa"/>
            <w:shd w:val="clear" w:color="auto" w:fill="FFFFFF"/>
          </w:tcPr>
          <w:p w:rsidR="00240C44" w:rsidRPr="00240C44" w:rsidRDefault="001D3AFF" w:rsidP="001B1C35">
            <w:pPr>
              <w:widowControl/>
              <w:rPr>
                <w:rFonts w:ascii="Times New Roman" w:eastAsia="Times New Roman" w:hAnsi="Times New Roman" w:cs="Times New Roman"/>
                <w:b/>
                <w:bCs/>
                <w:i/>
                <w:iCs/>
                <w:color w:val="auto"/>
              </w:rPr>
            </w:pPr>
            <w:bookmarkStart w:id="0" w:name="_GoBack"/>
            <w:bookmarkEnd w:id="0"/>
            <w:r w:rsidRPr="00240C44">
              <w:rPr>
                <w:rFonts w:ascii="Times New Roman" w:eastAsia="Times New Roman" w:hAnsi="Times New Roman" w:cs="Times New Roman"/>
                <w:color w:val="auto"/>
                <w:lang w:val="en-US"/>
              </w:rPr>
              <w:t>Date</w:t>
            </w:r>
          </w:p>
        </w:tc>
        <w:tc>
          <w:tcPr>
            <w:tcW w:w="154" w:type="dxa"/>
            <w:shd w:val="clear" w:color="auto" w:fill="FFFFFF"/>
          </w:tcPr>
          <w:p w:rsidR="00240C44" w:rsidRPr="00240C44" w:rsidRDefault="001D3AFF"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w:t>
            </w:r>
          </w:p>
        </w:tc>
        <w:tc>
          <w:tcPr>
            <w:tcW w:w="504" w:type="dxa"/>
            <w:tcBorders>
              <w:bottom w:val="single" w:sz="4" w:space="0" w:color="auto"/>
            </w:tcBorders>
            <w:shd w:val="clear" w:color="auto" w:fill="FFFFFF"/>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01</w:t>
            </w:r>
          </w:p>
        </w:tc>
        <w:tc>
          <w:tcPr>
            <w:tcW w:w="240" w:type="dxa"/>
            <w:shd w:val="clear" w:color="auto" w:fill="FFFFFF"/>
          </w:tcPr>
          <w:p w:rsidR="00240C44" w:rsidRPr="00240C44" w:rsidRDefault="001D3AFF"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w:t>
            </w:r>
          </w:p>
        </w:tc>
        <w:tc>
          <w:tcPr>
            <w:tcW w:w="2270" w:type="dxa"/>
            <w:tcBorders>
              <w:bottom w:val="single" w:sz="4" w:space="0" w:color="auto"/>
            </w:tcBorders>
            <w:shd w:val="clear" w:color="auto" w:fill="FFFFFF"/>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March</w:t>
            </w:r>
          </w:p>
        </w:tc>
        <w:tc>
          <w:tcPr>
            <w:tcW w:w="336" w:type="dxa"/>
            <w:tcBorders>
              <w:bottom w:val="single" w:sz="4" w:space="0" w:color="auto"/>
            </w:tcBorders>
            <w:shd w:val="clear" w:color="auto" w:fill="FFFFFF"/>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20</w:t>
            </w:r>
          </w:p>
        </w:tc>
        <w:tc>
          <w:tcPr>
            <w:tcW w:w="370" w:type="dxa"/>
            <w:tcBorders>
              <w:bottom w:val="single" w:sz="4" w:space="0" w:color="auto"/>
            </w:tcBorders>
            <w:shd w:val="clear" w:color="auto" w:fill="FFFFFF"/>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18</w:t>
            </w:r>
          </w:p>
        </w:tc>
        <w:tc>
          <w:tcPr>
            <w:tcW w:w="346" w:type="dxa"/>
            <w:shd w:val="clear" w:color="auto" w:fill="FFFFFF"/>
          </w:tcPr>
          <w:p w:rsidR="00240C44" w:rsidRPr="00240C44" w:rsidRDefault="001D3AFF"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y.</w:t>
            </w:r>
          </w:p>
        </w:tc>
      </w:tr>
      <w:tr w:rsidR="002E782F" w:rsidTr="001B1C35">
        <w:trPr>
          <w:trHeight w:val="20"/>
          <w:jc w:val="right"/>
        </w:trPr>
        <w:tc>
          <w:tcPr>
            <w:tcW w:w="6183" w:type="dxa"/>
            <w:gridSpan w:val="8"/>
            <w:shd w:val="clear" w:color="auto" w:fill="FFFFFF"/>
          </w:tcPr>
          <w:p w:rsidR="00240C44" w:rsidRPr="00240C44" w:rsidRDefault="001D3AFF" w:rsidP="001B1C35">
            <w:pPr>
              <w:widowControl/>
              <w:rPr>
                <w:rFonts w:ascii="Times New Roman" w:hAnsi="Times New Roman" w:cs="Times New Roman"/>
                <w:color w:val="auto"/>
              </w:rPr>
            </w:pPr>
          </w:p>
        </w:tc>
      </w:tr>
      <w:tr w:rsidR="002E782F" w:rsidTr="001B1C35">
        <w:trPr>
          <w:trHeight w:val="20"/>
          <w:jc w:val="right"/>
        </w:trPr>
        <w:tc>
          <w:tcPr>
            <w:tcW w:w="6183" w:type="dxa"/>
            <w:gridSpan w:val="8"/>
            <w:shd w:val="clear" w:color="auto" w:fill="FFFFFF"/>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i/>
                <w:iCs/>
                <w:color w:val="auto"/>
                <w:lang w:val="en-US"/>
              </w:rPr>
              <w:t>Bank of Russia</w:t>
            </w:r>
          </w:p>
        </w:tc>
      </w:tr>
      <w:tr w:rsidR="002E782F" w:rsidRPr="00570045" w:rsidTr="001B1C35">
        <w:trPr>
          <w:trHeight w:val="20"/>
          <w:jc w:val="right"/>
        </w:trPr>
        <w:tc>
          <w:tcPr>
            <w:tcW w:w="6183" w:type="dxa"/>
            <w:gridSpan w:val="8"/>
            <w:tcBorders>
              <w:top w:val="single" w:sz="4" w:space="0" w:color="auto"/>
            </w:tcBorders>
            <w:shd w:val="clear" w:color="auto" w:fill="FFFFFF"/>
          </w:tcPr>
          <w:p w:rsidR="00240C44" w:rsidRPr="00570045" w:rsidRDefault="001D3AFF" w:rsidP="001B1C35">
            <w:pPr>
              <w:widowControl/>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(the name of the registering agency is indicated)</w:t>
            </w:r>
          </w:p>
        </w:tc>
      </w:tr>
      <w:tr w:rsidR="002E782F" w:rsidRPr="00570045" w:rsidTr="001B1C35">
        <w:trPr>
          <w:trHeight w:val="20"/>
          <w:jc w:val="right"/>
        </w:trPr>
        <w:tc>
          <w:tcPr>
            <w:tcW w:w="6183" w:type="dxa"/>
            <w:gridSpan w:val="8"/>
            <w:shd w:val="clear" w:color="auto" w:fill="FFFFFF"/>
          </w:tcPr>
          <w:p w:rsidR="00240C44" w:rsidRPr="00570045" w:rsidRDefault="001D3AFF" w:rsidP="001B1C35">
            <w:pPr>
              <w:widowControl/>
              <w:rPr>
                <w:rFonts w:ascii="Times New Roman" w:hAnsi="Times New Roman" w:cs="Times New Roman"/>
                <w:color w:val="auto"/>
                <w:lang w:val="en-US"/>
              </w:rPr>
            </w:pPr>
          </w:p>
        </w:tc>
      </w:tr>
      <w:tr w:rsidR="002E782F" w:rsidRPr="00570045" w:rsidTr="001B1C35">
        <w:trPr>
          <w:trHeight w:val="20"/>
          <w:jc w:val="right"/>
        </w:trPr>
        <w:tc>
          <w:tcPr>
            <w:tcW w:w="6183" w:type="dxa"/>
            <w:gridSpan w:val="8"/>
            <w:shd w:val="clear" w:color="auto" w:fill="FFFFFF"/>
          </w:tcPr>
          <w:p w:rsidR="00240C44" w:rsidRPr="00570045" w:rsidRDefault="001D3AFF" w:rsidP="001B1C35">
            <w:pPr>
              <w:widowControl/>
              <w:rPr>
                <w:rFonts w:ascii="Times New Roman" w:hAnsi="Times New Roman" w:cs="Times New Roman"/>
                <w:color w:val="auto"/>
                <w:lang w:val="en-US"/>
              </w:rPr>
            </w:pPr>
          </w:p>
        </w:tc>
      </w:tr>
      <w:tr w:rsidR="002E782F" w:rsidTr="001B1C35">
        <w:trPr>
          <w:trHeight w:val="20"/>
          <w:jc w:val="right"/>
        </w:trPr>
        <w:tc>
          <w:tcPr>
            <w:tcW w:w="6183" w:type="dxa"/>
            <w:gridSpan w:val="8"/>
            <w:tcBorders>
              <w:top w:val="single" w:sz="4" w:space="0" w:color="auto"/>
            </w:tcBorders>
            <w:shd w:val="clear" w:color="auto" w:fill="FFFFFF"/>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(signature of authorized person)</w:t>
            </w:r>
          </w:p>
        </w:tc>
      </w:tr>
      <w:tr w:rsidR="002E782F" w:rsidTr="001B1C35">
        <w:trPr>
          <w:trHeight w:val="20"/>
          <w:jc w:val="right"/>
        </w:trPr>
        <w:tc>
          <w:tcPr>
            <w:tcW w:w="6183" w:type="dxa"/>
            <w:gridSpan w:val="8"/>
            <w:shd w:val="clear" w:color="auto" w:fill="FFFFFF"/>
          </w:tcPr>
          <w:p w:rsidR="00240C44" w:rsidRPr="00240C44" w:rsidRDefault="001D3AFF" w:rsidP="001B1C35">
            <w:pPr>
              <w:widowControl/>
              <w:rPr>
                <w:rFonts w:ascii="Times New Roman" w:hAnsi="Times New Roman" w:cs="Times New Roman"/>
                <w:color w:val="auto"/>
              </w:rPr>
            </w:pPr>
          </w:p>
        </w:tc>
      </w:tr>
      <w:tr w:rsidR="002E782F" w:rsidRPr="00570045" w:rsidTr="001B1C35">
        <w:trPr>
          <w:trHeight w:val="20"/>
          <w:jc w:val="right"/>
        </w:trPr>
        <w:tc>
          <w:tcPr>
            <w:tcW w:w="6183" w:type="dxa"/>
            <w:gridSpan w:val="8"/>
            <w:shd w:val="clear" w:color="auto" w:fill="FFFFFF"/>
          </w:tcPr>
          <w:p w:rsidR="00240C44" w:rsidRPr="00570045" w:rsidRDefault="001D3AFF" w:rsidP="001B1C35">
            <w:pPr>
              <w:widowControl/>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(seal of the registering agency)</w:t>
            </w:r>
          </w:p>
        </w:tc>
      </w:tr>
    </w:tbl>
    <w:p w:rsidR="00240C44" w:rsidRPr="00570045" w:rsidRDefault="001D3AFF" w:rsidP="001B1C35">
      <w:pPr>
        <w:widowControl/>
        <w:spacing w:before="360" w:after="360"/>
        <w:jc w:val="center"/>
        <w:rPr>
          <w:rFonts w:ascii="Times New Roman" w:eastAsia="Times New Roman" w:hAnsi="Times New Roman" w:cs="Times New Roman"/>
          <w:b/>
          <w:bCs/>
          <w:color w:val="auto"/>
          <w:sz w:val="28"/>
          <w:szCs w:val="28"/>
          <w:lang w:val="en-US"/>
        </w:rPr>
      </w:pPr>
      <w:bookmarkStart w:id="1" w:name="bookmark0"/>
      <w:r w:rsidRPr="00240C44">
        <w:rPr>
          <w:rFonts w:ascii="Times New Roman" w:eastAsia="Times New Roman" w:hAnsi="Times New Roman" w:cs="Times New Roman"/>
          <w:b/>
          <w:bCs/>
          <w:color w:val="auto"/>
          <w:sz w:val="28"/>
          <w:szCs w:val="28"/>
          <w:lang w:val="en-US"/>
        </w:rPr>
        <w:t xml:space="preserve">ALTERATIONS TO THE DECISION </w:t>
      </w:r>
      <w:r w:rsidRPr="00240C44">
        <w:rPr>
          <w:rFonts w:ascii="Times New Roman" w:eastAsia="Times New Roman" w:hAnsi="Times New Roman" w:cs="Times New Roman"/>
          <w:b/>
          <w:bCs/>
          <w:color w:val="auto"/>
          <w:sz w:val="28"/>
          <w:szCs w:val="28"/>
          <w:lang w:val="en-US"/>
        </w:rPr>
        <w:br/>
        <w:t xml:space="preserve"> ON ADDITIONAL STOCK ISSUE</w:t>
      </w:r>
      <w:bookmarkEnd w:id="1"/>
    </w:p>
    <w:p w:rsidR="00240C44" w:rsidRPr="00570045" w:rsidRDefault="001D3AFF" w:rsidP="001B1C35">
      <w:pPr>
        <w:widowControl/>
        <w:spacing w:after="360"/>
        <w:jc w:val="center"/>
        <w:rPr>
          <w:rFonts w:ascii="Times New Roman" w:eastAsia="Times New Roman" w:hAnsi="Times New Roman" w:cs="Times New Roman"/>
          <w:b/>
          <w:bCs/>
          <w:i/>
          <w:iCs/>
          <w:color w:val="auto"/>
          <w:sz w:val="28"/>
          <w:szCs w:val="28"/>
          <w:lang w:val="en-US"/>
        </w:rPr>
      </w:pPr>
      <w:bookmarkStart w:id="2" w:name="bookmark1"/>
      <w:r w:rsidRPr="00240C44">
        <w:rPr>
          <w:rFonts w:ascii="Times New Roman" w:eastAsia="Times New Roman" w:hAnsi="Times New Roman" w:cs="Times New Roman"/>
          <w:b/>
          <w:bCs/>
          <w:i/>
          <w:iCs/>
          <w:color w:val="auto"/>
          <w:sz w:val="28"/>
          <w:szCs w:val="28"/>
          <w:lang w:val="en-US"/>
        </w:rPr>
        <w:t xml:space="preserve">Joint-stock company </w:t>
      </w:r>
      <w:r w:rsidRPr="00240C44">
        <w:rPr>
          <w:rFonts w:ascii="Times New Roman" w:eastAsia="Times New Roman" w:hAnsi="Times New Roman" w:cs="Times New Roman"/>
          <w:b/>
          <w:bCs/>
          <w:i/>
          <w:iCs/>
          <w:color w:val="auto"/>
          <w:sz w:val="28"/>
          <w:szCs w:val="28"/>
          <w:lang w:val="en-US"/>
        </w:rPr>
        <w:t>«Interregional distribution</w:t>
      </w:r>
      <w:bookmarkStart w:id="3" w:name="bookmark2"/>
      <w:bookmarkEnd w:id="2"/>
      <w:r w:rsidRPr="00240C44">
        <w:rPr>
          <w:rFonts w:ascii="Times New Roman" w:eastAsia="Times New Roman" w:hAnsi="Times New Roman" w:cs="Times New Roman"/>
          <w:b/>
          <w:bCs/>
          <w:i/>
          <w:iCs/>
          <w:color w:val="auto"/>
          <w:sz w:val="28"/>
          <w:szCs w:val="28"/>
          <w:lang w:val="en-US"/>
        </w:rPr>
        <w:t xml:space="preserve"> grid company of the South» </w:t>
      </w:r>
      <w:bookmarkEnd w:id="3"/>
    </w:p>
    <w:p w:rsidR="00240C44" w:rsidRPr="00570045" w:rsidRDefault="001D3AFF" w:rsidP="001B1C35">
      <w:pPr>
        <w:widowControl/>
        <w:spacing w:after="360"/>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b/>
          <w:bCs/>
          <w:i/>
          <w:iCs/>
          <w:color w:val="auto"/>
          <w:lang w:val="en-US"/>
        </w:rPr>
        <w:t xml:space="preserve">Common registered uncertificated stocks </w:t>
      </w:r>
      <w:r w:rsidRPr="00240C44">
        <w:rPr>
          <w:rFonts w:ascii="Times New Roman" w:eastAsia="Times New Roman" w:hAnsi="Times New Roman" w:cs="Times New Roman"/>
          <w:b/>
          <w:bCs/>
          <w:i/>
          <w:iCs/>
          <w:color w:val="auto"/>
          <w:lang w:val="en-US"/>
        </w:rPr>
        <w:br/>
        <w:t xml:space="preserve"> with nominal value of 10(Ten) kopeck each </w:t>
      </w:r>
      <w:r w:rsidRPr="00240C44">
        <w:rPr>
          <w:rFonts w:ascii="Times New Roman" w:eastAsia="Times New Roman" w:hAnsi="Times New Roman" w:cs="Times New Roman"/>
          <w:b/>
          <w:bCs/>
          <w:i/>
          <w:iCs/>
          <w:color w:val="auto"/>
          <w:lang w:val="en-US"/>
        </w:rPr>
        <w:br/>
        <w:t xml:space="preserve"> totaling 13 015185 446 (Thirteen billion fifteen million one hundred </w:t>
      </w:r>
      <w:r w:rsidRPr="00240C44">
        <w:rPr>
          <w:rFonts w:ascii="Times New Roman" w:eastAsia="Times New Roman" w:hAnsi="Times New Roman" w:cs="Times New Roman"/>
          <w:b/>
          <w:bCs/>
          <w:i/>
          <w:iCs/>
          <w:color w:val="auto"/>
          <w:lang w:val="en-US"/>
        </w:rPr>
        <w:br/>
        <w:t xml:space="preserve"> eighty five thousand four hundred forty six</w:t>
      </w:r>
      <w:r w:rsidRPr="00240C44">
        <w:rPr>
          <w:rFonts w:ascii="Times New Roman" w:eastAsia="Times New Roman" w:hAnsi="Times New Roman" w:cs="Times New Roman"/>
          <w:b/>
          <w:bCs/>
          <w:i/>
          <w:iCs/>
          <w:color w:val="auto"/>
          <w:lang w:val="en-US"/>
        </w:rPr>
        <w:t xml:space="preserve">) units, </w:t>
      </w:r>
      <w:r w:rsidRPr="00240C44">
        <w:rPr>
          <w:rFonts w:ascii="Times New Roman" w:eastAsia="Times New Roman" w:hAnsi="Times New Roman" w:cs="Times New Roman"/>
          <w:b/>
          <w:bCs/>
          <w:i/>
          <w:iCs/>
          <w:color w:val="auto"/>
          <w:lang w:val="en-US"/>
        </w:rPr>
        <w:br/>
        <w:t xml:space="preserve"> allocated by means of public offering</w:t>
      </w:r>
    </w:p>
    <w:tbl>
      <w:tblPr>
        <w:tblOverlap w:val="never"/>
        <w:tblW w:w="5000" w:type="pct"/>
        <w:tblCellMar>
          <w:left w:w="10" w:type="dxa"/>
          <w:right w:w="10" w:type="dxa"/>
        </w:tblCellMar>
        <w:tblLook w:val="04A0" w:firstRow="1" w:lastRow="0" w:firstColumn="1" w:lastColumn="0" w:noHBand="0" w:noVBand="1"/>
      </w:tblPr>
      <w:tblGrid>
        <w:gridCol w:w="2319"/>
        <w:gridCol w:w="405"/>
        <w:gridCol w:w="411"/>
        <w:gridCol w:w="391"/>
        <w:gridCol w:w="360"/>
        <w:gridCol w:w="402"/>
        <w:gridCol w:w="412"/>
        <w:gridCol w:w="406"/>
        <w:gridCol w:w="402"/>
        <w:gridCol w:w="380"/>
        <w:gridCol w:w="412"/>
        <w:gridCol w:w="402"/>
        <w:gridCol w:w="406"/>
        <w:gridCol w:w="2883"/>
      </w:tblGrid>
      <w:tr w:rsidR="002E782F" w:rsidRPr="00570045" w:rsidTr="001B1C35">
        <w:trPr>
          <w:trHeight w:val="340"/>
        </w:trPr>
        <w:tc>
          <w:tcPr>
            <w:tcW w:w="5000" w:type="pct"/>
            <w:gridSpan w:val="14"/>
            <w:shd w:val="clear" w:color="auto" w:fill="FFFFFF"/>
            <w:vAlign w:val="center"/>
          </w:tcPr>
          <w:p w:rsidR="00240C44" w:rsidRPr="00570045" w:rsidRDefault="001D3AFF" w:rsidP="001B1C35">
            <w:pPr>
              <w:widowControl/>
              <w:jc w:val="center"/>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State registration number of additional issue of securities</w:t>
            </w:r>
          </w:p>
        </w:tc>
      </w:tr>
      <w:tr w:rsidR="002E782F" w:rsidTr="001B1C35">
        <w:trPr>
          <w:trHeight w:val="340"/>
        </w:trPr>
        <w:tc>
          <w:tcPr>
            <w:tcW w:w="1161" w:type="pct"/>
            <w:tcBorders>
              <w:right w:val="single" w:sz="4" w:space="0" w:color="auto"/>
            </w:tcBorders>
            <w:shd w:val="clear" w:color="auto" w:fill="FFFFFF"/>
            <w:vAlign w:val="center"/>
          </w:tcPr>
          <w:p w:rsidR="00240C44" w:rsidRPr="00570045" w:rsidRDefault="001D3AFF" w:rsidP="001B1C35">
            <w:pPr>
              <w:widowControl/>
              <w:jc w:val="center"/>
              <w:rPr>
                <w:rFonts w:ascii="Times New Roman" w:hAnsi="Times New Roman" w:cs="Times New Roman"/>
                <w:color w:val="auto"/>
                <w:lang w:val="en-US"/>
              </w:rPr>
            </w:pPr>
          </w:p>
        </w:tc>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1B1C35">
              <w:rPr>
                <w:rFonts w:ascii="Times New Roman" w:eastAsia="Times New Roman" w:hAnsi="Times New Roman" w:cs="Times New Roman"/>
                <w:b/>
                <w:color w:val="auto"/>
                <w:lang w:val="en-US" w:eastAsia="en-US" w:bidi="en-US"/>
              </w:rPr>
              <w:t>1</w:t>
            </w:r>
          </w:p>
        </w:tc>
        <w:tc>
          <w:tcPr>
            <w:tcW w:w="206" w:type="pct"/>
            <w:tcBorders>
              <w:left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Cs/>
                <w:i/>
                <w:iCs/>
                <w:color w:val="auto"/>
              </w:rPr>
            </w:pPr>
            <w:r w:rsidRPr="001B1C35">
              <w:rPr>
                <w:rFonts w:ascii="Times New Roman" w:eastAsia="Times New Roman" w:hAnsi="Times New Roman" w:cs="Times New Roman"/>
                <w:bCs/>
                <w:color w:val="auto"/>
                <w:lang w:val="en-US"/>
              </w:rPr>
              <w:t>–</w:t>
            </w:r>
          </w:p>
        </w:tc>
        <w:tc>
          <w:tcPr>
            <w:tcW w:w="196"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0</w:t>
            </w:r>
          </w:p>
        </w:tc>
        <w:tc>
          <w:tcPr>
            <w:tcW w:w="180"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1</w:t>
            </w:r>
          </w:p>
        </w:tc>
        <w:tc>
          <w:tcPr>
            <w:tcW w:w="201" w:type="pct"/>
            <w:tcBorders>
              <w:left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1B1C35">
              <w:rPr>
                <w:rFonts w:ascii="Times New Roman" w:eastAsia="Times New Roman" w:hAnsi="Times New Roman" w:cs="Times New Roman"/>
                <w:bCs/>
                <w:color w:val="auto"/>
                <w:lang w:val="en-US"/>
              </w:rPr>
              <w:t>–</w:t>
            </w:r>
          </w:p>
        </w:tc>
        <w:tc>
          <w:tcPr>
            <w:tcW w:w="206"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3</w:t>
            </w:r>
          </w:p>
        </w:tc>
        <w:tc>
          <w:tcPr>
            <w:tcW w:w="203"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4</w:t>
            </w:r>
          </w:p>
        </w:tc>
        <w:tc>
          <w:tcPr>
            <w:tcW w:w="201"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9</w:t>
            </w:r>
          </w:p>
        </w:tc>
        <w:tc>
          <w:tcPr>
            <w:tcW w:w="190"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5</w:t>
            </w:r>
          </w:p>
        </w:tc>
        <w:tc>
          <w:tcPr>
            <w:tcW w:w="206"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6</w:t>
            </w:r>
          </w:p>
        </w:tc>
        <w:tc>
          <w:tcPr>
            <w:tcW w:w="201" w:type="pct"/>
            <w:tcBorders>
              <w:left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1B1C35">
              <w:rPr>
                <w:rFonts w:ascii="Times New Roman" w:eastAsia="Times New Roman" w:hAnsi="Times New Roman" w:cs="Times New Roman"/>
                <w:bCs/>
                <w:color w:val="auto"/>
                <w:lang w:val="en-US"/>
              </w:rPr>
              <w:t>–</w:t>
            </w:r>
          </w:p>
        </w:tc>
        <w:tc>
          <w:tcPr>
            <w:tcW w:w="203" w:type="pct"/>
            <w:tcBorders>
              <w:top w:val="single" w:sz="4" w:space="0" w:color="auto"/>
              <w:left w:val="single" w:sz="4" w:space="0" w:color="auto"/>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eastAsia="en-US" w:bidi="en-US"/>
              </w:rPr>
              <w:t>E</w:t>
            </w:r>
          </w:p>
        </w:tc>
        <w:tc>
          <w:tcPr>
            <w:tcW w:w="1441" w:type="pct"/>
            <w:tcBorders>
              <w:left w:val="single" w:sz="4" w:space="0" w:color="auto"/>
            </w:tcBorders>
            <w:shd w:val="clear" w:color="auto" w:fill="FFFFFF"/>
            <w:vAlign w:val="center"/>
          </w:tcPr>
          <w:p w:rsidR="00240C44" w:rsidRPr="00240C44" w:rsidRDefault="001D3AFF" w:rsidP="001B1C35">
            <w:pPr>
              <w:widowControl/>
              <w:jc w:val="center"/>
              <w:rPr>
                <w:rFonts w:ascii="Times New Roman" w:hAnsi="Times New Roman" w:cs="Times New Roman"/>
                <w:color w:val="auto"/>
              </w:rPr>
            </w:pPr>
          </w:p>
        </w:tc>
      </w:tr>
    </w:tbl>
    <w:p w:rsidR="00240C44" w:rsidRPr="00570045" w:rsidRDefault="001D3AFF" w:rsidP="001B1C35">
      <w:pPr>
        <w:widowControl/>
        <w:spacing w:before="360"/>
        <w:jc w:val="center"/>
        <w:rPr>
          <w:rFonts w:ascii="Times New Roman" w:eastAsia="Times New Roman" w:hAnsi="Times New Roman" w:cs="Times New Roman"/>
          <w:color w:val="auto"/>
          <w:lang w:val="en-US"/>
        </w:rPr>
      </w:pPr>
      <w:r w:rsidRPr="00240C44">
        <w:rPr>
          <w:rFonts w:ascii="Times New Roman" w:eastAsia="Times New Roman" w:hAnsi="Times New Roman" w:cs="Times New Roman"/>
          <w:color w:val="auto"/>
          <w:lang w:val="en-US"/>
        </w:rPr>
        <w:t>Date of state registration of additional stock issue</w:t>
      </w:r>
    </w:p>
    <w:tbl>
      <w:tblPr>
        <w:tblOverlap w:val="never"/>
        <w:tblW w:w="0" w:type="auto"/>
        <w:jc w:val="center"/>
        <w:tblLayout w:type="fixed"/>
        <w:tblCellMar>
          <w:left w:w="10" w:type="dxa"/>
          <w:right w:w="10" w:type="dxa"/>
        </w:tblCellMar>
        <w:tblLook w:val="04A0" w:firstRow="1" w:lastRow="0" w:firstColumn="1" w:lastColumn="0" w:noHBand="0" w:noVBand="1"/>
      </w:tblPr>
      <w:tblGrid>
        <w:gridCol w:w="173"/>
        <w:gridCol w:w="456"/>
        <w:gridCol w:w="221"/>
        <w:gridCol w:w="1450"/>
        <w:gridCol w:w="341"/>
        <w:gridCol w:w="355"/>
        <w:gridCol w:w="518"/>
      </w:tblGrid>
      <w:tr w:rsidR="002E782F" w:rsidTr="001B1C35">
        <w:trPr>
          <w:trHeight w:val="274"/>
          <w:jc w:val="center"/>
        </w:trPr>
        <w:tc>
          <w:tcPr>
            <w:tcW w:w="173" w:type="dxa"/>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w:t>
            </w:r>
          </w:p>
        </w:tc>
        <w:tc>
          <w:tcPr>
            <w:tcW w:w="456" w:type="dxa"/>
            <w:tcBorders>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01</w:t>
            </w:r>
          </w:p>
        </w:tc>
        <w:tc>
          <w:tcPr>
            <w:tcW w:w="221" w:type="dxa"/>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w:t>
            </w:r>
          </w:p>
        </w:tc>
        <w:tc>
          <w:tcPr>
            <w:tcW w:w="1450" w:type="dxa"/>
            <w:tcBorders>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of June</w:t>
            </w:r>
          </w:p>
        </w:tc>
        <w:tc>
          <w:tcPr>
            <w:tcW w:w="341" w:type="dxa"/>
            <w:tcBorders>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20</w:t>
            </w:r>
          </w:p>
        </w:tc>
        <w:tc>
          <w:tcPr>
            <w:tcW w:w="355" w:type="dxa"/>
            <w:tcBorders>
              <w:bottom w:val="single" w:sz="4" w:space="0" w:color="auto"/>
            </w:tcBorders>
            <w:shd w:val="clear" w:color="auto" w:fill="FFFFFF"/>
            <w:vAlign w:val="center"/>
          </w:tcPr>
          <w:p w:rsidR="00240C44" w:rsidRPr="00240C44" w:rsidRDefault="001D3AFF" w:rsidP="001B1C35">
            <w:pPr>
              <w:widowControl/>
              <w:jc w:val="center"/>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17</w:t>
            </w:r>
          </w:p>
        </w:tc>
        <w:tc>
          <w:tcPr>
            <w:tcW w:w="518" w:type="dxa"/>
            <w:shd w:val="clear" w:color="auto" w:fill="FFFFFF"/>
            <w:vAlign w:val="center"/>
          </w:tcPr>
          <w:p w:rsidR="00240C44" w:rsidRPr="00240C44" w:rsidRDefault="001D3AFF"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b/>
                <w:bCs/>
                <w:color w:val="auto"/>
                <w:lang w:val="en-US"/>
              </w:rPr>
              <w:t>y.</w:t>
            </w:r>
          </w:p>
        </w:tc>
      </w:tr>
    </w:tbl>
    <w:p w:rsidR="00240C44" w:rsidRPr="00240C44" w:rsidRDefault="001D3AFF" w:rsidP="001B1C35">
      <w:pPr>
        <w:widowControl/>
        <w:spacing w:before="360" w:after="480"/>
        <w:jc w:val="both"/>
        <w:rPr>
          <w:rFonts w:ascii="Times New Roman" w:eastAsia="Times New Roman" w:hAnsi="Times New Roman" w:cs="Times New Roman"/>
          <w:color w:val="auto"/>
        </w:rPr>
      </w:pPr>
      <w:r w:rsidRPr="00240C44">
        <w:rPr>
          <w:rFonts w:ascii="Times New Roman" w:eastAsia="Times New Roman" w:hAnsi="Times New Roman" w:cs="Times New Roman"/>
          <w:color w:val="auto"/>
          <w:lang w:val="en-US"/>
        </w:rPr>
        <w:t>Amendments make by the Board of Directors PJSC «IDGC of the South», adopted on January 29, 2018, the Protocol of January 31, 2018 N 257/2018.</w:t>
      </w:r>
    </w:p>
    <w:p w:rsidR="00240C44" w:rsidRPr="00240C44" w:rsidRDefault="001D3AFF" w:rsidP="001B1C35">
      <w:pPr>
        <w:widowControl/>
        <w:spacing w:after="720"/>
        <w:jc w:val="both"/>
        <w:rPr>
          <w:rFonts w:ascii="Times New Roman" w:eastAsia="Times New Roman" w:hAnsi="Times New Roman" w:cs="Times New Roman"/>
          <w:color w:val="auto"/>
        </w:rPr>
      </w:pPr>
      <w:r w:rsidRPr="00240C44">
        <w:rPr>
          <w:rFonts w:ascii="Times New Roman" w:eastAsia="Times New Roman" w:hAnsi="Times New Roman" w:cs="Times New Roman"/>
          <w:color w:val="auto"/>
          <w:lang w:val="en-US"/>
        </w:rPr>
        <w:t xml:space="preserve">Location of the </w:t>
      </w:r>
      <w:r w:rsidRPr="00240C44">
        <w:rPr>
          <w:rFonts w:ascii="Times New Roman" w:eastAsia="Times New Roman" w:hAnsi="Times New Roman" w:cs="Times New Roman"/>
          <w:color w:val="auto"/>
          <w:lang w:val="en-US"/>
        </w:rPr>
        <w:t>issuer and contact telephone numbers: Rostov-on-Don, Russian Federation; +7 (863) 307-08-38.</w:t>
      </w:r>
    </w:p>
    <w:tbl>
      <w:tblPr>
        <w:tblOverlap w:val="never"/>
        <w:tblW w:w="5000" w:type="pct"/>
        <w:tblCellMar>
          <w:left w:w="10" w:type="dxa"/>
          <w:right w:w="10" w:type="dxa"/>
        </w:tblCellMar>
        <w:tblLook w:val="04A0" w:firstRow="1" w:lastRow="0" w:firstColumn="1" w:lastColumn="0" w:noHBand="0" w:noVBand="1"/>
      </w:tblPr>
      <w:tblGrid>
        <w:gridCol w:w="5559"/>
        <w:gridCol w:w="2196"/>
        <w:gridCol w:w="2236"/>
      </w:tblGrid>
      <w:tr w:rsidR="002E782F" w:rsidTr="001B1C35">
        <w:trPr>
          <w:trHeight w:val="283"/>
        </w:trPr>
        <w:tc>
          <w:tcPr>
            <w:tcW w:w="2782" w:type="pct"/>
            <w:shd w:val="clear" w:color="auto" w:fill="FFFFFF"/>
          </w:tcPr>
          <w:p w:rsidR="00240C44" w:rsidRPr="00240C44" w:rsidRDefault="001D3AFF"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Chief Executive Officer PJSC «IDGC of the South»</w:t>
            </w:r>
          </w:p>
        </w:tc>
        <w:tc>
          <w:tcPr>
            <w:tcW w:w="1099" w:type="pct"/>
            <w:shd w:val="clear" w:color="auto" w:fill="FFFFFF"/>
          </w:tcPr>
          <w:p w:rsidR="00240C44" w:rsidRPr="00240C44" w:rsidRDefault="001D3AFF" w:rsidP="001B1C35">
            <w:pPr>
              <w:widowControl/>
              <w:rPr>
                <w:rFonts w:ascii="Times New Roman" w:hAnsi="Times New Roman" w:cs="Times New Roman"/>
                <w:color w:val="auto"/>
              </w:rPr>
            </w:pPr>
          </w:p>
        </w:tc>
        <w:tc>
          <w:tcPr>
            <w:tcW w:w="1120" w:type="pct"/>
            <w:shd w:val="clear" w:color="auto" w:fill="FFFFFF"/>
          </w:tcPr>
          <w:p w:rsidR="00240C44" w:rsidRPr="00240C44" w:rsidRDefault="001D3AFF" w:rsidP="001B1C35">
            <w:pPr>
              <w:widowControl/>
              <w:jc w:val="right"/>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B. B. Ebzeyev</w:t>
            </w:r>
          </w:p>
        </w:tc>
      </w:tr>
      <w:tr w:rsidR="002E782F" w:rsidTr="001B1C35">
        <w:trPr>
          <w:trHeight w:val="283"/>
        </w:trPr>
        <w:tc>
          <w:tcPr>
            <w:tcW w:w="2782" w:type="pct"/>
            <w:shd w:val="clear" w:color="auto" w:fill="FFFFFF"/>
          </w:tcPr>
          <w:p w:rsidR="00240C44" w:rsidRPr="00240C44" w:rsidRDefault="001D3AFF" w:rsidP="001B1C35">
            <w:pPr>
              <w:widowControl/>
              <w:rPr>
                <w:rFonts w:ascii="Times New Roman" w:hAnsi="Times New Roman" w:cs="Times New Roman"/>
                <w:color w:val="auto"/>
              </w:rPr>
            </w:pPr>
          </w:p>
        </w:tc>
        <w:tc>
          <w:tcPr>
            <w:tcW w:w="1099" w:type="pct"/>
            <w:tcBorders>
              <w:top w:val="single" w:sz="4" w:space="0" w:color="auto"/>
            </w:tcBorders>
            <w:shd w:val="clear" w:color="auto" w:fill="FFFFFF"/>
          </w:tcPr>
          <w:p w:rsidR="00240C44" w:rsidRPr="00240C44" w:rsidRDefault="001D3AFF" w:rsidP="001B1C35">
            <w:pPr>
              <w:widowControl/>
              <w:rPr>
                <w:rFonts w:ascii="Times New Roman" w:hAnsi="Times New Roman" w:cs="Times New Roman"/>
                <w:color w:val="auto"/>
              </w:rPr>
            </w:pPr>
          </w:p>
        </w:tc>
        <w:tc>
          <w:tcPr>
            <w:tcW w:w="1120" w:type="pct"/>
            <w:shd w:val="clear" w:color="auto" w:fill="FFFFFF"/>
          </w:tcPr>
          <w:p w:rsidR="00240C44" w:rsidRPr="00240C44" w:rsidRDefault="001D3AFF" w:rsidP="001B1C35">
            <w:pPr>
              <w:widowControl/>
              <w:rPr>
                <w:rFonts w:ascii="Times New Roman" w:hAnsi="Times New Roman" w:cs="Times New Roman"/>
                <w:color w:val="auto"/>
              </w:rPr>
            </w:pPr>
          </w:p>
        </w:tc>
      </w:tr>
      <w:tr w:rsidR="002E782F" w:rsidTr="001B1C35">
        <w:trPr>
          <w:trHeight w:val="283"/>
        </w:trPr>
        <w:tc>
          <w:tcPr>
            <w:tcW w:w="2782" w:type="pct"/>
            <w:shd w:val="clear" w:color="auto" w:fill="FFFFFF"/>
          </w:tcPr>
          <w:p w:rsidR="00240C44" w:rsidRPr="00240C44" w:rsidRDefault="001D3AFF" w:rsidP="001B1C35">
            <w:pPr>
              <w:widowControl/>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«01» February, 2018</w:t>
            </w:r>
          </w:p>
        </w:tc>
        <w:tc>
          <w:tcPr>
            <w:tcW w:w="1099" w:type="pct"/>
            <w:shd w:val="clear" w:color="auto" w:fill="FFFFFF"/>
          </w:tcPr>
          <w:p w:rsidR="00240C44" w:rsidRPr="00240C44" w:rsidRDefault="001D3AFF" w:rsidP="001B1C35">
            <w:pPr>
              <w:widowControl/>
              <w:jc w:val="right"/>
              <w:rPr>
                <w:rFonts w:ascii="Times New Roman" w:eastAsia="Times New Roman" w:hAnsi="Times New Roman" w:cs="Times New Roman"/>
                <w:b/>
                <w:bCs/>
                <w:i/>
                <w:iCs/>
                <w:color w:val="auto"/>
              </w:rPr>
            </w:pPr>
            <w:r w:rsidRPr="00240C44">
              <w:rPr>
                <w:rFonts w:ascii="Times New Roman" w:eastAsia="Times New Roman" w:hAnsi="Times New Roman" w:cs="Times New Roman"/>
                <w:color w:val="auto"/>
                <w:lang w:val="en-US"/>
              </w:rPr>
              <w:t>STAMP HERE.</w:t>
            </w:r>
          </w:p>
        </w:tc>
        <w:tc>
          <w:tcPr>
            <w:tcW w:w="1120" w:type="pct"/>
            <w:shd w:val="clear" w:color="auto" w:fill="FFFFFF"/>
          </w:tcPr>
          <w:p w:rsidR="00240C44" w:rsidRPr="00240C44" w:rsidRDefault="001D3AFF" w:rsidP="001B1C35">
            <w:pPr>
              <w:widowControl/>
              <w:rPr>
                <w:rFonts w:ascii="Times New Roman" w:hAnsi="Times New Roman" w:cs="Times New Roman"/>
                <w:color w:val="auto"/>
              </w:rPr>
            </w:pPr>
          </w:p>
        </w:tc>
      </w:tr>
    </w:tbl>
    <w:p w:rsidR="001B1C35" w:rsidRDefault="001D3AFF" w:rsidP="00240C44">
      <w:pPr>
        <w:widowControl/>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br w:type="page"/>
      </w:r>
    </w:p>
    <w:p w:rsidR="00240C44" w:rsidRPr="00240C44" w:rsidRDefault="001D3AFF" w:rsidP="001B1C35">
      <w:pPr>
        <w:widowControl/>
        <w:spacing w:after="240"/>
        <w:jc w:val="both"/>
        <w:rPr>
          <w:rFonts w:ascii="Times New Roman" w:eastAsia="Times New Roman" w:hAnsi="Times New Roman" w:cs="Times New Roman"/>
          <w:b/>
          <w:bCs/>
          <w:color w:val="auto"/>
        </w:rPr>
      </w:pPr>
      <w:r w:rsidRPr="00240C44">
        <w:rPr>
          <w:rFonts w:ascii="Times New Roman" w:eastAsia="Times New Roman" w:hAnsi="Times New Roman" w:cs="Times New Roman"/>
          <w:b/>
          <w:bCs/>
          <w:color w:val="auto"/>
          <w:lang w:val="en-US"/>
        </w:rPr>
        <w:lastRenderedPageBreak/>
        <w:t xml:space="preserve">The text of alterable edition of decision on additional </w:t>
      </w:r>
      <w:r w:rsidRPr="00240C44">
        <w:rPr>
          <w:rFonts w:ascii="Times New Roman" w:eastAsia="Times New Roman" w:hAnsi="Times New Roman" w:cs="Times New Roman"/>
          <w:b/>
          <w:bCs/>
          <w:color w:val="auto"/>
          <w:lang w:val="en-US"/>
        </w:rPr>
        <w:t>stock issue (with specification of divisions, clauses, periods)</w:t>
      </w:r>
    </w:p>
    <w:p w:rsidR="00240C44" w:rsidRPr="00240C44" w:rsidRDefault="001D3AFF" w:rsidP="001B1C35">
      <w:pPr>
        <w:widowControl/>
        <w:spacing w:after="240"/>
        <w:jc w:val="both"/>
        <w:rPr>
          <w:rFonts w:ascii="Times New Roman" w:eastAsia="Times New Roman" w:hAnsi="Times New Roman" w:cs="Times New Roman"/>
          <w:color w:val="auto"/>
        </w:rPr>
      </w:pPr>
      <w:r w:rsidRPr="00240C44">
        <w:rPr>
          <w:rFonts w:ascii="Times New Roman" w:eastAsia="Times New Roman" w:hAnsi="Times New Roman" w:cs="Times New Roman"/>
          <w:color w:val="auto"/>
          <w:lang w:val="en-US"/>
        </w:rPr>
        <w:t>Paragraph «The period within which can be submitted proposals (offers) to acquire of placed securities» of sub-item 8.3 «Securities Placement Procedure» of sub-item 8 «Conditions and arrangeme</w:t>
      </w:r>
      <w:r w:rsidRPr="00240C44">
        <w:rPr>
          <w:rFonts w:ascii="Times New Roman" w:eastAsia="Times New Roman" w:hAnsi="Times New Roman" w:cs="Times New Roman"/>
          <w:color w:val="auto"/>
          <w:lang w:val="en-US"/>
        </w:rPr>
        <w:t>nts of securities’ placement of additional issue» the solution on the additional issue of securities:</w:t>
      </w:r>
    </w:p>
    <w:p w:rsidR="00240C44" w:rsidRPr="00570045" w:rsidRDefault="001D3AFF" w:rsidP="001B1C35">
      <w:pPr>
        <w:widowControl/>
        <w:spacing w:after="240"/>
        <w:jc w:val="both"/>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 xml:space="preserve">Period, within which can be submitted proposals (offers) to acquire of placed securities: </w:t>
      </w:r>
      <w:r w:rsidRPr="00240C44">
        <w:rPr>
          <w:rFonts w:ascii="Times New Roman" w:eastAsia="Times New Roman" w:hAnsi="Times New Roman" w:cs="Times New Roman"/>
          <w:b/>
          <w:bCs/>
          <w:i/>
          <w:iCs/>
          <w:color w:val="auto"/>
          <w:lang w:val="en-US"/>
        </w:rPr>
        <w:t>the offers (tenders) to purchase placed stocks (hereinafter – "T</w:t>
      </w:r>
      <w:r w:rsidRPr="00240C44">
        <w:rPr>
          <w:rFonts w:ascii="Times New Roman" w:eastAsia="Times New Roman" w:hAnsi="Times New Roman" w:cs="Times New Roman"/>
          <w:b/>
          <w:bCs/>
          <w:i/>
          <w:iCs/>
          <w:color w:val="auto"/>
          <w:lang w:val="en-US"/>
        </w:rPr>
        <w:t>enders") can be given to the emitter during 185 (one hundred eighty five) calendar days of the issuer performed the last of the indicated actions: the issuer published the Invitation for making tenders in the newswire of the informational agency "Interfax"</w:t>
      </w:r>
      <w:r w:rsidRPr="00240C44">
        <w:rPr>
          <w:rFonts w:ascii="Times New Roman" w:eastAsia="Times New Roman" w:hAnsi="Times New Roman" w:cs="Times New Roman"/>
          <w:b/>
          <w:bCs/>
          <w:i/>
          <w:iCs/>
          <w:color w:val="auto"/>
          <w:lang w:val="en-US"/>
        </w:rPr>
        <w:t xml:space="preserve">, the issuer published the Invitation for making tenders on emitter's web pages on the Internet </w:t>
      </w:r>
      <w:hyperlink r:id="rId7" w:history="1">
        <w:r w:rsidRPr="00240C44">
          <w:rPr>
            <w:rFonts w:ascii="Times New Roman" w:eastAsia="Times New Roman" w:hAnsi="Times New Roman" w:cs="Times New Roman"/>
            <w:b/>
            <w:bCs/>
            <w:i/>
            <w:iCs/>
            <w:color w:val="auto"/>
            <w:u w:val="single"/>
            <w:lang w:val="en-US" w:eastAsia="en-US" w:bidi="en-US"/>
          </w:rPr>
          <w:t>(http://www.e-</w:t>
        </w:r>
      </w:hyperlink>
      <w:hyperlink r:id="rId8" w:history="1">
        <w:r w:rsidRPr="00240C44">
          <w:rPr>
            <w:rFonts w:ascii="Times New Roman" w:eastAsia="Times New Roman" w:hAnsi="Times New Roman" w:cs="Times New Roman"/>
            <w:b/>
            <w:bCs/>
            <w:i/>
            <w:iCs/>
            <w:color w:val="auto"/>
            <w:u w:val="single"/>
            <w:lang w:val="en-US" w:eastAsia="en-US" w:bidi="en-US"/>
          </w:rPr>
          <w:t>disclosure.ru/portal/company.aspx?id=11999</w:t>
        </w:r>
        <w:r w:rsidRPr="00240C44">
          <w:rPr>
            <w:rFonts w:ascii="Times New Roman" w:eastAsia="Times New Roman" w:hAnsi="Times New Roman" w:cs="Times New Roman"/>
            <w:b/>
            <w:bCs/>
            <w:i/>
            <w:iCs/>
            <w:color w:val="auto"/>
            <w:lang w:val="en-US"/>
          </w:rPr>
          <w:t xml:space="preserve"> </w:t>
        </w:r>
      </w:hyperlink>
      <w:r w:rsidRPr="00240C44">
        <w:rPr>
          <w:rFonts w:ascii="Times New Roman" w:eastAsia="Times New Roman" w:hAnsi="Times New Roman" w:cs="Times New Roman"/>
          <w:b/>
          <w:bCs/>
          <w:i/>
          <w:iCs/>
          <w:color w:val="auto"/>
          <w:lang w:val="en-US"/>
        </w:rPr>
        <w:t>and</w:t>
      </w:r>
      <w:hyperlink r:id="rId9" w:history="1">
        <w:r w:rsidRPr="00240C44">
          <w:rPr>
            <w:rFonts w:ascii="Times New Roman" w:eastAsia="Times New Roman" w:hAnsi="Times New Roman" w:cs="Times New Roman"/>
            <w:b/>
            <w:bCs/>
            <w:i/>
            <w:iCs/>
            <w:color w:val="auto"/>
            <w:lang w:val="en-US"/>
          </w:rPr>
          <w:t xml:space="preserve"> </w:t>
        </w:r>
        <w:r w:rsidRPr="00240C44">
          <w:rPr>
            <w:rFonts w:ascii="Times New Roman" w:eastAsia="Times New Roman" w:hAnsi="Times New Roman" w:cs="Times New Roman"/>
            <w:b/>
            <w:bCs/>
            <w:i/>
            <w:iCs/>
            <w:color w:val="auto"/>
            <w:u w:val="single"/>
            <w:lang w:val="en-US" w:eastAsia="en-US" w:bidi="en-US"/>
          </w:rPr>
          <w:t>http://www.mrsk-vuea.ru/)</w:t>
        </w:r>
      </w:hyperlink>
      <w:r w:rsidRPr="00240C44">
        <w:rPr>
          <w:rFonts w:ascii="Times New Roman" w:eastAsia="Times New Roman" w:hAnsi="Times New Roman" w:cs="Times New Roman"/>
          <w:b/>
          <w:bCs/>
          <w:i/>
          <w:iCs/>
          <w:color w:val="auto"/>
          <w:lang w:val="en-US"/>
        </w:rPr>
        <w:t>.</w:t>
      </w:r>
    </w:p>
    <w:p w:rsidR="00240C44" w:rsidRPr="00570045" w:rsidRDefault="001D3AFF" w:rsidP="001B1C35">
      <w:pPr>
        <w:widowControl/>
        <w:spacing w:after="240"/>
        <w:jc w:val="both"/>
        <w:rPr>
          <w:rFonts w:ascii="Times New Roman" w:eastAsia="Times New Roman" w:hAnsi="Times New Roman" w:cs="Times New Roman"/>
          <w:b/>
          <w:bCs/>
          <w:color w:val="auto"/>
          <w:lang w:val="en-US"/>
        </w:rPr>
      </w:pPr>
      <w:r w:rsidRPr="00240C44">
        <w:rPr>
          <w:rFonts w:ascii="Times New Roman" w:eastAsia="Times New Roman" w:hAnsi="Times New Roman" w:cs="Times New Roman"/>
          <w:b/>
          <w:bCs/>
          <w:color w:val="auto"/>
          <w:lang w:val="en-US"/>
        </w:rPr>
        <w:t>Text of a new alteration edition (with specification of divisions, clauses, periods)</w:t>
      </w:r>
    </w:p>
    <w:p w:rsidR="00240C44" w:rsidRPr="00240C44" w:rsidRDefault="001D3AFF" w:rsidP="001B1C35">
      <w:pPr>
        <w:widowControl/>
        <w:spacing w:after="240"/>
        <w:jc w:val="both"/>
        <w:rPr>
          <w:rFonts w:ascii="Times New Roman" w:eastAsia="Times New Roman" w:hAnsi="Times New Roman" w:cs="Times New Roman"/>
          <w:color w:val="auto"/>
        </w:rPr>
      </w:pPr>
      <w:r w:rsidRPr="00240C44">
        <w:rPr>
          <w:rFonts w:ascii="Times New Roman" w:eastAsia="Times New Roman" w:hAnsi="Times New Roman" w:cs="Times New Roman"/>
          <w:color w:val="auto"/>
          <w:lang w:val="en-US"/>
        </w:rPr>
        <w:t>Paragraph «The period within which can be submitted p</w:t>
      </w:r>
      <w:r w:rsidRPr="00240C44">
        <w:rPr>
          <w:rFonts w:ascii="Times New Roman" w:eastAsia="Times New Roman" w:hAnsi="Times New Roman" w:cs="Times New Roman"/>
          <w:color w:val="auto"/>
          <w:lang w:val="en-US"/>
        </w:rPr>
        <w:t>roposals (offers) to acquire of placed securities» of sub-item 8.3 «Securities Placement Procedure» of sub-item 8 «Conditions and arrangements of securities’ placement of additional issue» the solution on the additional issue of securities:</w:t>
      </w:r>
    </w:p>
    <w:p w:rsidR="00240C44" w:rsidRPr="00570045" w:rsidRDefault="001D3AFF" w:rsidP="001B1C35">
      <w:pPr>
        <w:widowControl/>
        <w:spacing w:after="240"/>
        <w:jc w:val="both"/>
        <w:rPr>
          <w:rFonts w:ascii="Times New Roman" w:eastAsia="Times New Roman" w:hAnsi="Times New Roman" w:cs="Times New Roman"/>
          <w:b/>
          <w:bCs/>
          <w:i/>
          <w:iCs/>
          <w:color w:val="auto"/>
          <w:lang w:val="en-US"/>
        </w:rPr>
      </w:pPr>
      <w:r w:rsidRPr="00240C44">
        <w:rPr>
          <w:rFonts w:ascii="Times New Roman" w:eastAsia="Times New Roman" w:hAnsi="Times New Roman" w:cs="Times New Roman"/>
          <w:color w:val="auto"/>
          <w:lang w:val="en-US"/>
        </w:rPr>
        <w:t xml:space="preserve">Period, within </w:t>
      </w:r>
      <w:r w:rsidRPr="00240C44">
        <w:rPr>
          <w:rFonts w:ascii="Times New Roman" w:eastAsia="Times New Roman" w:hAnsi="Times New Roman" w:cs="Times New Roman"/>
          <w:color w:val="auto"/>
          <w:lang w:val="en-US"/>
        </w:rPr>
        <w:t xml:space="preserve">which can be submitted proposals (offers) to acquire of placed securities: </w:t>
      </w:r>
      <w:r w:rsidRPr="00240C44">
        <w:rPr>
          <w:rFonts w:ascii="Times New Roman" w:eastAsia="Times New Roman" w:hAnsi="Times New Roman" w:cs="Times New Roman"/>
          <w:b/>
          <w:bCs/>
          <w:i/>
          <w:iCs/>
          <w:color w:val="auto"/>
          <w:lang w:val="en-US"/>
        </w:rPr>
        <w:t>the offers (tenders) to purchase placed stocks (hereinafter – "Tenders") can be given to the emitter during 245 (two hundred forty five) calendar days of the issuer performed the la</w:t>
      </w:r>
      <w:r w:rsidRPr="00240C44">
        <w:rPr>
          <w:rFonts w:ascii="Times New Roman" w:eastAsia="Times New Roman" w:hAnsi="Times New Roman" w:cs="Times New Roman"/>
          <w:b/>
          <w:bCs/>
          <w:i/>
          <w:iCs/>
          <w:color w:val="auto"/>
          <w:lang w:val="en-US"/>
        </w:rPr>
        <w:t xml:space="preserve">st of the indicated actions: the issuer published the Invitation for making tenders in the newswire of the informational agency "Interfax", the issuer published the Invitation for making tenders on emitter's web pages on the Internet  </w:t>
      </w:r>
      <w:hyperlink r:id="rId10" w:history="1">
        <w:r w:rsidRPr="00240C44">
          <w:rPr>
            <w:rFonts w:ascii="Times New Roman" w:eastAsia="Times New Roman" w:hAnsi="Times New Roman" w:cs="Times New Roman"/>
            <w:b/>
            <w:bCs/>
            <w:i/>
            <w:iCs/>
            <w:color w:val="auto"/>
            <w:u w:val="single"/>
            <w:lang w:val="en-US" w:eastAsia="en-US" w:bidi="en-US"/>
          </w:rPr>
          <w:t>(http://www.e-disclosure.ru/portal/company.aspx?id=11999</w:t>
        </w:r>
        <w:r w:rsidRPr="00240C44">
          <w:rPr>
            <w:rFonts w:ascii="Times New Roman" w:eastAsia="Times New Roman" w:hAnsi="Times New Roman" w:cs="Times New Roman"/>
            <w:b/>
            <w:bCs/>
            <w:i/>
            <w:iCs/>
            <w:color w:val="auto"/>
            <w:lang w:val="en-US"/>
          </w:rPr>
          <w:t xml:space="preserve"> </w:t>
        </w:r>
      </w:hyperlink>
      <w:r w:rsidRPr="00240C44">
        <w:rPr>
          <w:rFonts w:ascii="Times New Roman" w:eastAsia="Times New Roman" w:hAnsi="Times New Roman" w:cs="Times New Roman"/>
          <w:b/>
          <w:bCs/>
          <w:i/>
          <w:iCs/>
          <w:color w:val="auto"/>
          <w:lang w:val="en-US"/>
        </w:rPr>
        <w:t xml:space="preserve">and </w:t>
      </w:r>
      <w:hyperlink r:id="rId11" w:history="1">
        <w:r w:rsidRPr="00240C44">
          <w:rPr>
            <w:rFonts w:ascii="Times New Roman" w:eastAsia="Times New Roman" w:hAnsi="Times New Roman" w:cs="Times New Roman"/>
            <w:b/>
            <w:bCs/>
            <w:i/>
            <w:iCs/>
            <w:color w:val="auto"/>
            <w:u w:val="single"/>
            <w:lang w:val="en-US" w:eastAsia="en-US" w:bidi="en-US"/>
          </w:rPr>
          <w:t>http://www. mrsk-yuea.ru/)</w:t>
        </w:r>
      </w:hyperlink>
      <w:r w:rsidRPr="00240C44">
        <w:rPr>
          <w:rFonts w:ascii="Times New Roman" w:eastAsia="Times New Roman" w:hAnsi="Times New Roman" w:cs="Times New Roman"/>
          <w:b/>
          <w:bCs/>
          <w:i/>
          <w:iCs/>
          <w:color w:val="auto"/>
          <w:lang w:val="en-US"/>
        </w:rPr>
        <w:t>.</w:t>
      </w:r>
    </w:p>
    <w:sectPr w:rsidR="00240C44" w:rsidRPr="00570045" w:rsidSect="001B1C35">
      <w:footerReference w:type="default" r:id="rId12"/>
      <w:pgSz w:w="12240" w:h="15840"/>
      <w:pgMar w:top="851" w:right="851" w:bottom="851" w:left="1418" w:header="567" w:footer="5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AFF" w:rsidRDefault="001D3AFF">
      <w:r>
        <w:separator/>
      </w:r>
    </w:p>
  </w:endnote>
  <w:endnote w:type="continuationSeparator" w:id="0">
    <w:p w:rsidR="001D3AFF" w:rsidRDefault="001D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Overlap w:val="never"/>
      <w:tblW w:w="5000" w:type="pct"/>
      <w:tblCellMar>
        <w:left w:w="10" w:type="dxa"/>
        <w:right w:w="10" w:type="dxa"/>
      </w:tblCellMar>
      <w:tblLook w:val="04A0" w:firstRow="1" w:lastRow="0" w:firstColumn="1" w:lastColumn="0" w:noHBand="0" w:noVBand="1"/>
    </w:tblPr>
    <w:tblGrid>
      <w:gridCol w:w="9991"/>
    </w:tblGrid>
    <w:tr w:rsidR="002E782F" w:rsidTr="001B1C35">
      <w:trPr>
        <w:trHeight w:val="20"/>
      </w:trPr>
      <w:tc>
        <w:tcPr>
          <w:tcW w:w="5000" w:type="pct"/>
          <w:tcBorders>
            <w:top w:val="single" w:sz="4" w:space="0" w:color="auto"/>
          </w:tcBorders>
          <w:shd w:val="clear" w:color="auto" w:fill="FFFFFF"/>
        </w:tcPr>
        <w:p w:rsidR="001B1C35" w:rsidRPr="00240C44" w:rsidRDefault="001D3AFF" w:rsidP="001B1C35">
          <w:pPr>
            <w:widowControl/>
            <w:rPr>
              <w:rFonts w:ascii="Times New Roman" w:hAnsi="Times New Roman" w:cs="Times New Roman"/>
              <w:color w:val="auto"/>
              <w:sz w:val="18"/>
              <w:szCs w:val="18"/>
            </w:rPr>
          </w:pPr>
        </w:p>
      </w:tc>
    </w:tr>
    <w:tr w:rsidR="002E782F" w:rsidTr="001B1C35">
      <w:trPr>
        <w:trHeight w:val="20"/>
      </w:trPr>
      <w:tc>
        <w:tcPr>
          <w:tcW w:w="5000" w:type="pct"/>
          <w:shd w:val="clear" w:color="auto" w:fill="FFFFFF"/>
        </w:tcPr>
        <w:p w:rsidR="001B1C35" w:rsidRPr="00240C44" w:rsidRDefault="001D3AFF" w:rsidP="001B1C35">
          <w:pPr>
            <w:widowControl/>
            <w:jc w:val="right"/>
            <w:rPr>
              <w:rFonts w:ascii="Times New Roman" w:eastAsia="Times New Roman" w:hAnsi="Times New Roman" w:cs="Times New Roman"/>
              <w:b/>
              <w:bCs/>
              <w:i/>
              <w:iCs/>
              <w:color w:val="auto"/>
              <w:sz w:val="18"/>
              <w:szCs w:val="18"/>
            </w:rPr>
          </w:pPr>
          <w:r w:rsidRPr="00240C44">
            <w:rPr>
              <w:rFonts w:ascii="Times New Roman" w:eastAsia="Times New Roman" w:hAnsi="Times New Roman" w:cs="Times New Roman"/>
              <w:color w:val="auto"/>
              <w:sz w:val="18"/>
              <w:szCs w:val="18"/>
              <w:lang w:val="en-US"/>
            </w:rPr>
            <w:t xml:space="preserve">Page </w:t>
          </w:r>
          <w:r w:rsidRPr="001B1C35">
            <w:rPr>
              <w:rFonts w:ascii="Times New Roman" w:eastAsia="Times New Roman" w:hAnsi="Times New Roman" w:cs="Times New Roman"/>
              <w:color w:val="auto"/>
              <w:sz w:val="18"/>
              <w:szCs w:val="18"/>
            </w:rPr>
            <w:fldChar w:fldCharType="begin"/>
          </w:r>
          <w:r w:rsidRPr="001B1C35">
            <w:rPr>
              <w:rFonts w:ascii="Times New Roman" w:eastAsia="Times New Roman" w:hAnsi="Times New Roman" w:cs="Times New Roman"/>
              <w:color w:val="auto"/>
              <w:sz w:val="18"/>
              <w:szCs w:val="18"/>
              <w:lang w:val="en-US"/>
            </w:rPr>
            <w:instrText>PAGE   \* MERGEFORMAT</w:instrText>
          </w:r>
          <w:r w:rsidRPr="001B1C35">
            <w:rPr>
              <w:rFonts w:ascii="Times New Roman" w:eastAsia="Times New Roman" w:hAnsi="Times New Roman" w:cs="Times New Roman"/>
              <w:color w:val="auto"/>
              <w:sz w:val="18"/>
              <w:szCs w:val="18"/>
            </w:rPr>
            <w:fldChar w:fldCharType="separate"/>
          </w:r>
          <w:r w:rsidR="00570045">
            <w:rPr>
              <w:rFonts w:ascii="Times New Roman" w:eastAsia="Times New Roman" w:hAnsi="Times New Roman" w:cs="Times New Roman"/>
              <w:noProof/>
              <w:color w:val="auto"/>
              <w:sz w:val="18"/>
              <w:szCs w:val="18"/>
              <w:lang w:val="en-US"/>
            </w:rPr>
            <w:t>2</w:t>
          </w:r>
          <w:r w:rsidRPr="001B1C35">
            <w:rPr>
              <w:rFonts w:ascii="Times New Roman" w:eastAsia="Times New Roman" w:hAnsi="Times New Roman" w:cs="Times New Roman"/>
              <w:color w:val="auto"/>
              <w:sz w:val="18"/>
              <w:szCs w:val="18"/>
            </w:rPr>
            <w:fldChar w:fldCharType="end"/>
          </w:r>
          <w:r w:rsidRPr="00240C44">
            <w:rPr>
              <w:rFonts w:ascii="Times New Roman" w:eastAsia="Times New Roman" w:hAnsi="Times New Roman" w:cs="Times New Roman"/>
              <w:color w:val="auto"/>
              <w:sz w:val="18"/>
              <w:szCs w:val="18"/>
              <w:lang w:val="en-US"/>
            </w:rPr>
            <w:t xml:space="preserve"> of </w:t>
          </w:r>
          <w:r>
            <w:rPr>
              <w:rFonts w:ascii="Times New Roman" w:eastAsia="Times New Roman" w:hAnsi="Times New Roman" w:cs="Times New Roman"/>
              <w:color w:val="auto"/>
              <w:sz w:val="18"/>
              <w:szCs w:val="18"/>
            </w:rPr>
            <w:fldChar w:fldCharType="begin"/>
          </w:r>
          <w:r>
            <w:rPr>
              <w:rFonts w:ascii="Times New Roman" w:eastAsia="Times New Roman" w:hAnsi="Times New Roman" w:cs="Times New Roman"/>
              <w:color w:val="auto"/>
              <w:sz w:val="18"/>
              <w:szCs w:val="18"/>
              <w:lang w:val="en-US"/>
            </w:rPr>
            <w:instrText xml:space="preserve"> NUMPAGES   \* MERGEFORMAT </w:instrText>
          </w:r>
          <w:r>
            <w:rPr>
              <w:rFonts w:ascii="Times New Roman" w:eastAsia="Times New Roman" w:hAnsi="Times New Roman" w:cs="Times New Roman"/>
              <w:color w:val="auto"/>
              <w:sz w:val="18"/>
              <w:szCs w:val="18"/>
            </w:rPr>
            <w:fldChar w:fldCharType="separate"/>
          </w:r>
          <w:r w:rsidR="00570045">
            <w:rPr>
              <w:rFonts w:ascii="Times New Roman" w:eastAsia="Times New Roman" w:hAnsi="Times New Roman" w:cs="Times New Roman"/>
              <w:noProof/>
              <w:color w:val="auto"/>
              <w:sz w:val="18"/>
              <w:szCs w:val="18"/>
              <w:lang w:val="en-US"/>
            </w:rPr>
            <w:t>2</w:t>
          </w:r>
          <w:r>
            <w:rPr>
              <w:rFonts w:ascii="Times New Roman" w:eastAsia="Times New Roman" w:hAnsi="Times New Roman" w:cs="Times New Roman"/>
              <w:color w:val="auto"/>
              <w:sz w:val="18"/>
              <w:szCs w:val="18"/>
            </w:rPr>
            <w:fldChar w:fldCharType="end"/>
          </w:r>
        </w:p>
      </w:tc>
    </w:tr>
  </w:tbl>
  <w:p w:rsidR="001B1C35" w:rsidRDefault="001D3A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AFF" w:rsidRDefault="001D3AFF">
      <w:r>
        <w:separator/>
      </w:r>
    </w:p>
  </w:footnote>
  <w:footnote w:type="continuationSeparator" w:id="0">
    <w:p w:rsidR="001D3AFF" w:rsidRDefault="001D3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2F"/>
    <w:rsid w:val="001D3AFF"/>
    <w:rsid w:val="002E782F"/>
    <w:rsid w:val="00570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Pr>
      <w:rFonts w:ascii="Times New Roman" w:eastAsia="Times New Roman" w:hAnsi="Times New Roman" w:cs="Times New Roman"/>
      <w:b/>
      <w:bCs/>
      <w:i/>
      <w:iCs/>
      <w:smallCaps w:val="0"/>
      <w:strike w:val="0"/>
      <w:u w:val="none"/>
    </w:rPr>
  </w:style>
  <w:style w:type="character" w:customStyle="1" w:styleId="20">
    <w:name w:val="Основной текст (2) + Не полужирный"/>
    <w:aliases w:val="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19pt">
    <w:name w:val="Основной текст (2) + 19 pt"/>
    <w:aliases w:val="Не курсив_0,Не полужирный"/>
    <w:basedOn w:val="2"/>
    <w:rPr>
      <w:rFonts w:ascii="Times New Roman" w:eastAsia="Times New Roman" w:hAnsi="Times New Roman" w:cs="Times New Roman"/>
      <w:b/>
      <w:bCs/>
      <w:i/>
      <w:iCs/>
      <w:smallCaps w:val="0"/>
      <w:strike w:val="0"/>
      <w:color w:val="000000"/>
      <w:spacing w:val="0"/>
      <w:w w:val="100"/>
      <w:position w:val="0"/>
      <w:sz w:val="38"/>
      <w:szCs w:val="38"/>
      <w:u w:val="none"/>
      <w:lang w:val="en-US" w:eastAsia="en-US" w:bidi="en-US"/>
    </w:rPr>
  </w:style>
  <w:style w:type="character" w:customStyle="1" w:styleId="25">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00">
    <w:name w:val="Основной текст (2) + Не полужирный_0"/>
    <w:aliases w:val="Не курсив_1"/>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1">
    <w:name w:val="Основной текст (2)_0"/>
    <w:basedOn w:val="2"/>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28">
    <w:name w:val="Основной текст (2) + 8"/>
    <w:aliases w:val="5 pt,Не курсив_2,Не полужирный_0"/>
    <w:basedOn w:val="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paragraph" w:customStyle="1" w:styleId="21">
    <w:name w:val="Основной текст (2)_1"/>
    <w:basedOn w:val="a"/>
    <w:link w:val="2"/>
    <w:pPr>
      <w:shd w:val="clear" w:color="auto" w:fill="FFFFFF"/>
      <w:spacing w:line="274" w:lineRule="exact"/>
      <w:jc w:val="center"/>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0" w:lineRule="atLeast"/>
      <w:jc w:val="center"/>
      <w:outlineLvl w:val="1"/>
    </w:pPr>
    <w:rPr>
      <w:rFonts w:ascii="Times New Roman" w:eastAsia="Times New Roman" w:hAnsi="Times New Roman" w:cs="Times New Roman"/>
      <w:b/>
      <w:bCs/>
      <w:i/>
      <w:iCs/>
      <w:sz w:val="28"/>
      <w:szCs w:val="28"/>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83" w:lineRule="exact"/>
      <w:jc w:val="both"/>
    </w:pPr>
    <w:rPr>
      <w:rFonts w:ascii="Times New Roman" w:eastAsia="Times New Roman" w:hAnsi="Times New Roman" w:cs="Times New Roman"/>
      <w:b/>
      <w:bCs/>
    </w:rPr>
  </w:style>
  <w:style w:type="paragraph" w:styleId="a5">
    <w:name w:val="header"/>
    <w:basedOn w:val="a"/>
    <w:link w:val="a6"/>
    <w:uiPriority w:val="99"/>
    <w:unhideWhenUsed/>
    <w:rsid w:val="001B1C35"/>
    <w:pPr>
      <w:tabs>
        <w:tab w:val="center" w:pos="4844"/>
        <w:tab w:val="right" w:pos="9689"/>
      </w:tabs>
    </w:pPr>
  </w:style>
  <w:style w:type="character" w:customStyle="1" w:styleId="a6">
    <w:name w:val="Верхний колонтитул Знак"/>
    <w:basedOn w:val="a0"/>
    <w:link w:val="a5"/>
    <w:uiPriority w:val="99"/>
    <w:rsid w:val="001B1C35"/>
    <w:rPr>
      <w:color w:val="000000"/>
    </w:rPr>
  </w:style>
  <w:style w:type="paragraph" w:styleId="a7">
    <w:name w:val="footer"/>
    <w:basedOn w:val="a"/>
    <w:link w:val="a8"/>
    <w:uiPriority w:val="99"/>
    <w:unhideWhenUsed/>
    <w:rsid w:val="001B1C35"/>
    <w:pPr>
      <w:tabs>
        <w:tab w:val="center" w:pos="4844"/>
        <w:tab w:val="right" w:pos="9689"/>
      </w:tabs>
    </w:pPr>
  </w:style>
  <w:style w:type="character" w:customStyle="1" w:styleId="a8">
    <w:name w:val="Нижний колонтитул Знак"/>
    <w:basedOn w:val="a0"/>
    <w:link w:val="a7"/>
    <w:uiPriority w:val="99"/>
    <w:rsid w:val="001B1C3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rPr>
      <w:rFonts w:ascii="Times New Roman" w:eastAsia="Times New Roman" w:hAnsi="Times New Roman" w:cs="Times New Roman"/>
      <w:b/>
      <w:bCs/>
      <w:i/>
      <w:iCs/>
      <w:smallCaps w:val="0"/>
      <w:strike w:val="0"/>
      <w:u w:val="none"/>
    </w:rPr>
  </w:style>
  <w:style w:type="character" w:customStyle="1" w:styleId="20">
    <w:name w:val="Основной текст (2) + Не полужирный"/>
    <w:aliases w:val="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iCs/>
      <w:smallCaps w:val="0"/>
      <w:strike w:val="0"/>
      <w:sz w:val="28"/>
      <w:szCs w:val="28"/>
      <w:u w:val="none"/>
    </w:rPr>
  </w:style>
  <w:style w:type="character" w:customStyle="1" w:styleId="219pt">
    <w:name w:val="Основной текст (2) + 19 pt"/>
    <w:aliases w:val="Не курсив_0,Не полужирный"/>
    <w:basedOn w:val="2"/>
    <w:rPr>
      <w:rFonts w:ascii="Times New Roman" w:eastAsia="Times New Roman" w:hAnsi="Times New Roman" w:cs="Times New Roman"/>
      <w:b/>
      <w:bCs/>
      <w:i/>
      <w:iCs/>
      <w:smallCaps w:val="0"/>
      <w:strike w:val="0"/>
      <w:color w:val="000000"/>
      <w:spacing w:val="0"/>
      <w:w w:val="100"/>
      <w:position w:val="0"/>
      <w:sz w:val="38"/>
      <w:szCs w:val="38"/>
      <w:u w:val="none"/>
      <w:lang w:val="en-US" w:eastAsia="en-US" w:bidi="en-US"/>
    </w:rPr>
  </w:style>
  <w:style w:type="character" w:customStyle="1" w:styleId="25">
    <w:name w:val="Основной текст (2) + Не 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200">
    <w:name w:val="Основной текст (2) + Не полужирный_0"/>
    <w:aliases w:val="Не курсив_1"/>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01">
    <w:name w:val="Основной текст (2)_0"/>
    <w:basedOn w:val="2"/>
    <w:rPr>
      <w:rFonts w:ascii="Times New Roman" w:eastAsia="Times New Roman" w:hAnsi="Times New Roman" w:cs="Times New Roman"/>
      <w:b/>
      <w:bCs/>
      <w:i/>
      <w:iCs/>
      <w:smallCaps w:val="0"/>
      <w:strike w:val="0"/>
      <w:color w:val="000000"/>
      <w:spacing w:val="0"/>
      <w:w w:val="100"/>
      <w:position w:val="0"/>
      <w:sz w:val="24"/>
      <w:szCs w:val="24"/>
      <w:u w:val="single"/>
      <w:lang w:val="en-US" w:eastAsia="en-US" w:bidi="en-US"/>
    </w:rPr>
  </w:style>
  <w:style w:type="character" w:customStyle="1" w:styleId="28">
    <w:name w:val="Основной текст (2) + 8"/>
    <w:aliases w:val="5 pt,Не курсив_2,Не полужирный_0"/>
    <w:basedOn w:val="2"/>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paragraph" w:customStyle="1" w:styleId="21">
    <w:name w:val="Основной текст (2)_1"/>
    <w:basedOn w:val="a"/>
    <w:link w:val="2"/>
    <w:pPr>
      <w:shd w:val="clear" w:color="auto" w:fill="FFFFFF"/>
      <w:spacing w:line="274" w:lineRule="exact"/>
      <w:jc w:val="center"/>
    </w:pPr>
    <w:rPr>
      <w:rFonts w:ascii="Times New Roman" w:eastAsia="Times New Roman" w:hAnsi="Times New Roman" w:cs="Times New Roman"/>
      <w:b/>
      <w:bCs/>
      <w:i/>
      <w:iCs/>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0" w:lineRule="atLeast"/>
      <w:jc w:val="center"/>
      <w:outlineLvl w:val="1"/>
    </w:pPr>
    <w:rPr>
      <w:rFonts w:ascii="Times New Roman" w:eastAsia="Times New Roman" w:hAnsi="Times New Roman" w:cs="Times New Roman"/>
      <w:b/>
      <w:bCs/>
      <w:i/>
      <w:iCs/>
      <w:sz w:val="28"/>
      <w:szCs w:val="28"/>
    </w:rPr>
  </w:style>
  <w:style w:type="paragraph" w:customStyle="1" w:styleId="a4">
    <w:name w:val="Подпись к таблице"/>
    <w:basedOn w:val="a"/>
    <w:link w:val="a3"/>
    <w:pPr>
      <w:shd w:val="clear" w:color="auto" w:fill="FFFFFF"/>
      <w:spacing w:line="0" w:lineRule="atLeas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8" w:lineRule="exac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line="283" w:lineRule="exact"/>
      <w:jc w:val="both"/>
    </w:pPr>
    <w:rPr>
      <w:rFonts w:ascii="Times New Roman" w:eastAsia="Times New Roman" w:hAnsi="Times New Roman" w:cs="Times New Roman"/>
      <w:b/>
      <w:bCs/>
    </w:rPr>
  </w:style>
  <w:style w:type="paragraph" w:styleId="a5">
    <w:name w:val="header"/>
    <w:basedOn w:val="a"/>
    <w:link w:val="a6"/>
    <w:uiPriority w:val="99"/>
    <w:unhideWhenUsed/>
    <w:rsid w:val="001B1C35"/>
    <w:pPr>
      <w:tabs>
        <w:tab w:val="center" w:pos="4844"/>
        <w:tab w:val="right" w:pos="9689"/>
      </w:tabs>
    </w:pPr>
  </w:style>
  <w:style w:type="character" w:customStyle="1" w:styleId="a6">
    <w:name w:val="Верхний колонтитул Знак"/>
    <w:basedOn w:val="a0"/>
    <w:link w:val="a5"/>
    <w:uiPriority w:val="99"/>
    <w:rsid w:val="001B1C35"/>
    <w:rPr>
      <w:color w:val="000000"/>
    </w:rPr>
  </w:style>
  <w:style w:type="paragraph" w:styleId="a7">
    <w:name w:val="footer"/>
    <w:basedOn w:val="a"/>
    <w:link w:val="a8"/>
    <w:uiPriority w:val="99"/>
    <w:unhideWhenUsed/>
    <w:rsid w:val="001B1C35"/>
    <w:pPr>
      <w:tabs>
        <w:tab w:val="center" w:pos="4844"/>
        <w:tab w:val="right" w:pos="9689"/>
      </w:tabs>
    </w:pPr>
  </w:style>
  <w:style w:type="character" w:customStyle="1" w:styleId="a8">
    <w:name w:val="Нижний колонтитул Знак"/>
    <w:basedOn w:val="a0"/>
    <w:link w:val="a7"/>
    <w:uiPriority w:val="99"/>
    <w:rsid w:val="001B1C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rsk-yuga.ru/" TargetMode="External"/><Relationship Id="rId5" Type="http://schemas.openxmlformats.org/officeDocument/2006/relationships/footnotes" Target="footnotes.xml"/><Relationship Id="rId10" Type="http://schemas.openxmlformats.org/officeDocument/2006/relationships/hyperlink" Target="http://www.e-disclosure.ru/portal/company.aspx?id=11999" TargetMode="External"/><Relationship Id="rId4" Type="http://schemas.openxmlformats.org/officeDocument/2006/relationships/webSettings" Target="webSettings.xml"/><Relationship Id="rId9" Type="http://schemas.openxmlformats.org/officeDocument/2006/relationships/hyperlink" Target="http://www.mrsk-yug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500</Words>
  <Characters>2854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Зарегистрировано   "___" ___________ 200 _ г</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"___" ___________ 200 _ г</dc:title>
  <dc:creator>Пользователь Windows</dc:creator>
  <cp:lastModifiedBy>Горлов Алексей Михайлович</cp:lastModifiedBy>
  <cp:revision>4</cp:revision>
  <dcterms:created xsi:type="dcterms:W3CDTF">2018-03-15T08:26:00Z</dcterms:created>
  <dcterms:modified xsi:type="dcterms:W3CDTF">2018-04-19T09:32:00Z</dcterms:modified>
</cp:coreProperties>
</file>